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1E" w:rsidRDefault="00B2411E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B2411E" w:rsidRDefault="00B2411E">
      <w:pPr>
        <w:pStyle w:val="ConsPlusTitle"/>
        <w:jc w:val="center"/>
      </w:pPr>
    </w:p>
    <w:p w:rsidR="00B2411E" w:rsidRDefault="00B2411E">
      <w:pPr>
        <w:pStyle w:val="ConsPlusTitle"/>
        <w:jc w:val="center"/>
      </w:pPr>
      <w:r>
        <w:t>РАСПОРЯЖЕНИЕ</w:t>
      </w:r>
    </w:p>
    <w:p w:rsidR="00B2411E" w:rsidRDefault="00B2411E">
      <w:pPr>
        <w:pStyle w:val="ConsPlusTitle"/>
        <w:jc w:val="center"/>
      </w:pPr>
      <w:r>
        <w:t>от 15 мая 2013 г. N 389-р</w:t>
      </w:r>
    </w:p>
    <w:p w:rsidR="00B2411E" w:rsidRDefault="00B2411E">
      <w:pPr>
        <w:pStyle w:val="ConsPlusTitle"/>
        <w:jc w:val="center"/>
      </w:pPr>
    </w:p>
    <w:p w:rsidR="00B2411E" w:rsidRDefault="00B2411E">
      <w:pPr>
        <w:pStyle w:val="ConsPlusTitle"/>
        <w:jc w:val="center"/>
      </w:pPr>
      <w:r>
        <w:t>О МЕРОПРИЯТИЯХ ПО ОБЕСПЕЧЕНИЮ БЕСПРЕПЯТСТВЕННОГО ДОСТУПА</w:t>
      </w:r>
    </w:p>
    <w:p w:rsidR="00B2411E" w:rsidRDefault="00B2411E">
      <w:pPr>
        <w:pStyle w:val="ConsPlusTitle"/>
        <w:jc w:val="center"/>
      </w:pPr>
      <w:r>
        <w:t xml:space="preserve">ИНВАЛИДОВ К ОБЪЕКТАМ </w:t>
      </w:r>
      <w:proofErr w:type="gramStart"/>
      <w:r>
        <w:t>СОЦИАЛЬНОЙ</w:t>
      </w:r>
      <w:proofErr w:type="gramEnd"/>
      <w:r>
        <w:t>, ТРАНСПОРТНОЙ, ИНЖЕНЕРНОЙ</w:t>
      </w:r>
    </w:p>
    <w:p w:rsidR="00B2411E" w:rsidRDefault="00B2411E">
      <w:pPr>
        <w:pStyle w:val="ConsPlusTitle"/>
        <w:jc w:val="center"/>
      </w:pPr>
      <w:r>
        <w:t>ИНФРАСТРУКТУРЫ И ПРЕДОСТАВЛЯЕМЫХ В НИХ УСЛУГ</w:t>
      </w:r>
    </w:p>
    <w:p w:rsidR="00B2411E" w:rsidRDefault="00B2411E">
      <w:pPr>
        <w:pStyle w:val="ConsPlusNormal"/>
        <w:jc w:val="center"/>
      </w:pPr>
    </w:p>
    <w:p w:rsidR="00B2411E" w:rsidRDefault="00B2411E">
      <w:pPr>
        <w:pStyle w:val="ConsPlusNormal"/>
        <w:jc w:val="center"/>
      </w:pPr>
      <w:r>
        <w:t>Список изменяющих документов</w:t>
      </w:r>
    </w:p>
    <w:p w:rsidR="00B2411E" w:rsidRDefault="00B2411E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</w:t>
      </w:r>
      <w:proofErr w:type="gramEnd"/>
    </w:p>
    <w:p w:rsidR="00B2411E" w:rsidRDefault="00B2411E">
      <w:pPr>
        <w:pStyle w:val="ConsPlusNormal"/>
        <w:jc w:val="center"/>
      </w:pPr>
      <w:r>
        <w:t>от 16.01.2017 N 18-р)</w:t>
      </w:r>
    </w:p>
    <w:p w:rsidR="00B2411E" w:rsidRDefault="00B2411E">
      <w:pPr>
        <w:pStyle w:val="ConsPlusNormal"/>
        <w:jc w:val="center"/>
      </w:pPr>
    </w:p>
    <w:p w:rsidR="00B2411E" w:rsidRDefault="00B2411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</w:t>
        </w:r>
      </w:hyperlink>
      <w:r>
        <w:t xml:space="preserve"> Закона Кемеровской области от 14.02.2005 N 25-ОЗ "О социальной поддержке инвалидов":</w:t>
      </w:r>
    </w:p>
    <w:p w:rsidR="00B2411E" w:rsidRDefault="00B2411E">
      <w:pPr>
        <w:pStyle w:val="ConsPlusNormal"/>
        <w:ind w:firstLine="540"/>
        <w:jc w:val="both"/>
      </w:pPr>
      <w:r>
        <w:t xml:space="preserve">1. </w:t>
      </w:r>
      <w:proofErr w:type="gramStart"/>
      <w:r>
        <w:t>Департаменту охраны здоровья населения Кемеровской области (</w:t>
      </w:r>
      <w:proofErr w:type="spellStart"/>
      <w:r>
        <w:t>В.М.Шан-Син</w:t>
      </w:r>
      <w:proofErr w:type="spellEnd"/>
      <w:r>
        <w:t>), департаменту образования и науки Кемеровской области (</w:t>
      </w:r>
      <w:proofErr w:type="spellStart"/>
      <w:r>
        <w:t>А.В.Чепкасов</w:t>
      </w:r>
      <w:proofErr w:type="spellEnd"/>
      <w:r>
        <w:t>), департаменту социальной защиты населения Кемеровской области (</w:t>
      </w:r>
      <w:proofErr w:type="spellStart"/>
      <w:r>
        <w:t>Н.Г.Круглякова</w:t>
      </w:r>
      <w:proofErr w:type="spellEnd"/>
      <w:r>
        <w:t>), департаменту культуры и национальной политики Кемеровской области (</w:t>
      </w:r>
      <w:proofErr w:type="spellStart"/>
      <w:r>
        <w:t>Л.Т.Зауэрвайн</w:t>
      </w:r>
      <w:proofErr w:type="spellEnd"/>
      <w:r>
        <w:t>), департаменту молодежной политики и спорта Кемеровской области (</w:t>
      </w:r>
      <w:proofErr w:type="spellStart"/>
      <w:r>
        <w:t>А.А.Пятовский</w:t>
      </w:r>
      <w:proofErr w:type="spellEnd"/>
      <w:r>
        <w:t>), департаменту транспорта и связи Кемеровской области (</w:t>
      </w:r>
      <w:proofErr w:type="spellStart"/>
      <w:r>
        <w:t>П.Н.Шикалев</w:t>
      </w:r>
      <w:proofErr w:type="spellEnd"/>
      <w:r>
        <w:t>), департаменту жилищно-коммунального и дорожного</w:t>
      </w:r>
      <w:proofErr w:type="gramEnd"/>
      <w:r>
        <w:t xml:space="preserve"> комплекса Кемеровской области (К.А.Десяткин), департаменту труда и занятости населения Кемеровской области (Е.И.Степин):</w:t>
      </w:r>
    </w:p>
    <w:p w:rsidR="00B2411E" w:rsidRDefault="00B2411E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16.01.2017 N 18-р)</w:t>
      </w:r>
    </w:p>
    <w:p w:rsidR="00B2411E" w:rsidRDefault="00B2411E">
      <w:pPr>
        <w:pStyle w:val="ConsPlusNormal"/>
        <w:ind w:firstLine="540"/>
        <w:jc w:val="both"/>
      </w:pPr>
      <w:r>
        <w:t>1.1. Обеспечить создание условий инвалидам для беспрепятственного доступа к объектам социальной, транспортной, инженерной инфраструктуры и предоставляемых в них услуг, находящимся в государственной собственности Кемеровской области.</w:t>
      </w:r>
    </w:p>
    <w:p w:rsidR="00B2411E" w:rsidRDefault="00B241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16.01.2017 N 18-р)</w:t>
      </w:r>
    </w:p>
    <w:p w:rsidR="00B2411E" w:rsidRDefault="00B2411E">
      <w:pPr>
        <w:pStyle w:val="ConsPlusNormal"/>
        <w:ind w:firstLine="540"/>
        <w:jc w:val="both"/>
      </w:pPr>
      <w:r>
        <w:t>1.2. Представить до 01.03.2017 в департамент социальной защиты населения Кемеровской области (</w:t>
      </w:r>
      <w:proofErr w:type="spellStart"/>
      <w:r>
        <w:t>Н.Г.Круглякова</w:t>
      </w:r>
      <w:proofErr w:type="spellEnd"/>
      <w:r>
        <w:t>) информацию о проделанной работе по созданию условий инвалидам для беспрепятственного доступа к объектам социальной, транспортной, инженерной инфраструктуры и предоставляемых в них услуг.</w:t>
      </w:r>
    </w:p>
    <w:p w:rsidR="00B2411E" w:rsidRDefault="00B241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16.01.2017 N 18-р)</w:t>
      </w:r>
    </w:p>
    <w:p w:rsidR="00B2411E" w:rsidRDefault="00B2411E">
      <w:pPr>
        <w:pStyle w:val="ConsPlusNormal"/>
        <w:ind w:firstLine="540"/>
        <w:jc w:val="both"/>
      </w:pPr>
      <w:r>
        <w:t>2. Рекомендовать главам муниципальных образований Кемеровской области:</w:t>
      </w:r>
    </w:p>
    <w:p w:rsidR="00B2411E" w:rsidRDefault="00B2411E">
      <w:pPr>
        <w:pStyle w:val="ConsPlusNormal"/>
        <w:ind w:firstLine="540"/>
        <w:jc w:val="both"/>
      </w:pPr>
      <w:bookmarkStart w:id="0" w:name="P22"/>
      <w:bookmarkEnd w:id="0"/>
      <w:r>
        <w:t>2.1. Утвердить перечень объектов социальной, транспортной, инженерной инфраструктуры и предоставляемых в них услуг, находящихся в муниципальной собственности, подлежащих в первоочередном порядке приспособлению для доступа к ним инвалидов.</w:t>
      </w:r>
    </w:p>
    <w:p w:rsidR="00B2411E" w:rsidRDefault="00B241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16.01.2017 N 18-р)</w:t>
      </w:r>
    </w:p>
    <w:p w:rsidR="00B2411E" w:rsidRDefault="00B2411E">
      <w:pPr>
        <w:pStyle w:val="ConsPlusNormal"/>
        <w:ind w:firstLine="540"/>
        <w:jc w:val="both"/>
      </w:pPr>
      <w:r>
        <w:t>2.2. С целью установления в числе исходных показателей требований к созданию условий доступности объектов для инвалидов обеспечить учет мнения общественных объединений инвалидов при подготовке муниципальными заказчиками технических заданий на проектирование объектов социальной, транспортной, инженерной инфраструктуры, подлежащих строительству или реконструкции.</w:t>
      </w:r>
    </w:p>
    <w:p w:rsidR="00B2411E" w:rsidRDefault="00B241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16.01.2017 N 18-р)</w:t>
      </w:r>
    </w:p>
    <w:p w:rsidR="00B2411E" w:rsidRDefault="00B2411E">
      <w:pPr>
        <w:pStyle w:val="ConsPlusNormal"/>
        <w:ind w:firstLine="540"/>
        <w:jc w:val="both"/>
      </w:pPr>
      <w:r>
        <w:t>2.3. Осуществлять комиссионную приемку объектов социальной, транспортной, инженерной инфраструктуры, вводимых в эксплуатацию, с участием представителей общественных объединений инвалидов, включенных в состав таких комиссий.</w:t>
      </w:r>
    </w:p>
    <w:p w:rsidR="00B2411E" w:rsidRDefault="00B241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16.01.2017 N 18-р)</w:t>
      </w:r>
    </w:p>
    <w:p w:rsidR="00B2411E" w:rsidRDefault="00B2411E">
      <w:pPr>
        <w:pStyle w:val="ConsPlusNormal"/>
        <w:ind w:firstLine="540"/>
        <w:jc w:val="both"/>
      </w:pPr>
      <w:r>
        <w:t xml:space="preserve">2.4. В срок до 01.02.2017 разработать и принять порядок комиссионной приемки вводимых в эксплуатацию объектов, не подлежащих государственному строительному надзору. По результатам работы комиссии должен быть составлен соответствующий документ с выводами комиссии о соответствии вводимого объекта техническим регламентам в части соблюдения требований доступности </w:t>
      </w:r>
      <w:proofErr w:type="spellStart"/>
      <w:r>
        <w:t>маломобильным</w:t>
      </w:r>
      <w:proofErr w:type="spellEnd"/>
      <w:r>
        <w:t xml:space="preserve"> группам населения. В состав комиссии включить специалистов органов архитектуры и градостроительства и представителей общественных объединений инвалидов </w:t>
      </w:r>
      <w:r>
        <w:lastRenderedPageBreak/>
        <w:t>муниципального образования.</w:t>
      </w:r>
    </w:p>
    <w:p w:rsidR="00B2411E" w:rsidRDefault="00B241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16.01.2017 N 18-р)</w:t>
      </w:r>
    </w:p>
    <w:p w:rsidR="00B2411E" w:rsidRDefault="00B2411E">
      <w:pPr>
        <w:pStyle w:val="ConsPlusNormal"/>
        <w:ind w:firstLine="540"/>
        <w:jc w:val="both"/>
      </w:pPr>
      <w:bookmarkStart w:id="1" w:name="P30"/>
      <w:bookmarkEnd w:id="1"/>
      <w:r>
        <w:t>2.5. Осуществлять методическое руководство по обеспечению беспрепятственного доступа инвалидов к объектам социальной, транспортной, инженерной инфраструктуры и предоставляемых в них услуг.</w:t>
      </w:r>
    </w:p>
    <w:p w:rsidR="00B2411E" w:rsidRDefault="00B241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2.5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16.01.2017 N 18-р)</w:t>
      </w:r>
    </w:p>
    <w:p w:rsidR="00B2411E" w:rsidRDefault="00B2411E">
      <w:pPr>
        <w:pStyle w:val="ConsPlusNormal"/>
        <w:ind w:firstLine="540"/>
        <w:jc w:val="both"/>
      </w:pPr>
      <w:r>
        <w:t xml:space="preserve">2.6. </w:t>
      </w:r>
      <w:proofErr w:type="gramStart"/>
      <w:r>
        <w:t>Представлять ежеквартально в срок до 15-го числа месяца, следующего за отчетным, в департамент социальной защиты населения Кемеровской области (</w:t>
      </w:r>
      <w:proofErr w:type="spellStart"/>
      <w:r>
        <w:t>Н.Г.Круглякова</w:t>
      </w:r>
      <w:proofErr w:type="spellEnd"/>
      <w:r>
        <w:t xml:space="preserve">) информацию о ходе выполнения мероприятий, указанных в </w:t>
      </w:r>
      <w:hyperlink w:anchor="P22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30" w:history="1">
        <w:r>
          <w:rPr>
            <w:color w:val="0000FF"/>
          </w:rPr>
          <w:t>2.5</w:t>
        </w:r>
      </w:hyperlink>
      <w:r>
        <w:t xml:space="preserve"> настоящего распоряжения.</w:t>
      </w:r>
      <w:proofErr w:type="gramEnd"/>
    </w:p>
    <w:p w:rsidR="00B2411E" w:rsidRDefault="00B2411E">
      <w:pPr>
        <w:pStyle w:val="ConsPlusNormal"/>
        <w:jc w:val="both"/>
      </w:pPr>
      <w:r>
        <w:t>(</w:t>
      </w:r>
      <w:proofErr w:type="spellStart"/>
      <w:proofErr w:type="gramStart"/>
      <w:r>
        <w:t>п</w:t>
      </w:r>
      <w:proofErr w:type="gramEnd"/>
      <w:r>
        <w:t>п</w:t>
      </w:r>
      <w:proofErr w:type="spellEnd"/>
      <w:r>
        <w:t xml:space="preserve">. 2.6 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Коллегии Администрации Кемеровской области от 16.01.2017 N 18-р)</w:t>
      </w:r>
    </w:p>
    <w:p w:rsidR="00B2411E" w:rsidRDefault="00B2411E">
      <w:pPr>
        <w:pStyle w:val="ConsPlusNormal"/>
        <w:ind w:firstLine="540"/>
        <w:jc w:val="both"/>
      </w:pPr>
      <w:r>
        <w:t xml:space="preserve">3. Утвердить прилагаемый примерный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объектов социальной, транспортной, инженерной инфраструктуры, подлежащих приспособлению для доступа инвалидов.</w:t>
      </w:r>
    </w:p>
    <w:p w:rsidR="00B2411E" w:rsidRDefault="00B241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16.01.2017 N 18-р)</w:t>
      </w:r>
    </w:p>
    <w:p w:rsidR="00B2411E" w:rsidRDefault="00B2411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Губернатора Кемеровской области (по вопросам социальной политики) </w:t>
      </w:r>
      <w:proofErr w:type="spellStart"/>
      <w:r>
        <w:t>В.К.Цоя</w:t>
      </w:r>
      <w:proofErr w:type="spellEnd"/>
      <w:r>
        <w:t>.</w:t>
      </w:r>
    </w:p>
    <w:p w:rsidR="00B2411E" w:rsidRDefault="00B2411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16.01.2017 N 18-р)</w:t>
      </w:r>
    </w:p>
    <w:p w:rsidR="00B2411E" w:rsidRDefault="00B2411E">
      <w:pPr>
        <w:pStyle w:val="ConsPlusNormal"/>
        <w:ind w:firstLine="540"/>
        <w:jc w:val="both"/>
      </w:pPr>
      <w:r>
        <w:t>5. Распоряжение вступает в силу со дня подписания.</w:t>
      </w:r>
    </w:p>
    <w:p w:rsidR="00B2411E" w:rsidRDefault="00B2411E">
      <w:pPr>
        <w:pStyle w:val="ConsPlusNormal"/>
        <w:ind w:firstLine="540"/>
        <w:jc w:val="both"/>
      </w:pPr>
    </w:p>
    <w:p w:rsidR="00B2411E" w:rsidRDefault="00B2411E">
      <w:pPr>
        <w:pStyle w:val="ConsPlusNormal"/>
        <w:jc w:val="right"/>
      </w:pPr>
      <w:r>
        <w:t>И.о. Губернатора</w:t>
      </w:r>
    </w:p>
    <w:p w:rsidR="00B2411E" w:rsidRDefault="00B2411E">
      <w:pPr>
        <w:pStyle w:val="ConsPlusNormal"/>
        <w:jc w:val="right"/>
      </w:pPr>
      <w:r>
        <w:t>Кемеровской области</w:t>
      </w:r>
    </w:p>
    <w:p w:rsidR="00B2411E" w:rsidRDefault="00B2411E">
      <w:pPr>
        <w:pStyle w:val="ConsPlusNormal"/>
        <w:jc w:val="right"/>
      </w:pPr>
      <w:r>
        <w:t>В.П.МАЗИКИН</w:t>
      </w:r>
    </w:p>
    <w:p w:rsidR="00B2411E" w:rsidRDefault="00B2411E">
      <w:pPr>
        <w:pStyle w:val="ConsPlusNormal"/>
        <w:ind w:firstLine="540"/>
        <w:jc w:val="both"/>
      </w:pPr>
    </w:p>
    <w:p w:rsidR="00B2411E" w:rsidRDefault="00B2411E">
      <w:pPr>
        <w:pStyle w:val="ConsPlusNormal"/>
        <w:ind w:firstLine="540"/>
        <w:jc w:val="both"/>
      </w:pPr>
    </w:p>
    <w:p w:rsidR="00B2411E" w:rsidRDefault="00B2411E">
      <w:pPr>
        <w:pStyle w:val="ConsPlusNormal"/>
        <w:ind w:firstLine="540"/>
        <w:jc w:val="both"/>
      </w:pPr>
    </w:p>
    <w:p w:rsidR="00B2411E" w:rsidRDefault="00B2411E">
      <w:pPr>
        <w:pStyle w:val="ConsPlusNormal"/>
        <w:ind w:firstLine="540"/>
        <w:jc w:val="both"/>
      </w:pPr>
    </w:p>
    <w:p w:rsidR="00B2411E" w:rsidRDefault="00B2411E">
      <w:pPr>
        <w:pStyle w:val="ConsPlusNormal"/>
        <w:ind w:firstLine="540"/>
        <w:jc w:val="both"/>
      </w:pPr>
    </w:p>
    <w:p w:rsidR="00B2411E" w:rsidRDefault="00B2411E">
      <w:pPr>
        <w:pStyle w:val="ConsPlusNormal"/>
        <w:jc w:val="right"/>
        <w:outlineLvl w:val="0"/>
      </w:pPr>
      <w:r>
        <w:t>Утвержден</w:t>
      </w:r>
    </w:p>
    <w:p w:rsidR="00B2411E" w:rsidRDefault="00B2411E">
      <w:pPr>
        <w:pStyle w:val="ConsPlusNormal"/>
        <w:jc w:val="right"/>
      </w:pPr>
      <w:r>
        <w:t>распоряжением</w:t>
      </w:r>
    </w:p>
    <w:p w:rsidR="00B2411E" w:rsidRDefault="00B2411E">
      <w:pPr>
        <w:pStyle w:val="ConsPlusNormal"/>
        <w:jc w:val="right"/>
      </w:pPr>
      <w:r>
        <w:t>Коллегии Администрации</w:t>
      </w:r>
    </w:p>
    <w:p w:rsidR="00B2411E" w:rsidRDefault="00B2411E">
      <w:pPr>
        <w:pStyle w:val="ConsPlusNormal"/>
        <w:jc w:val="right"/>
      </w:pPr>
      <w:r>
        <w:t>Кемеровской области</w:t>
      </w:r>
    </w:p>
    <w:p w:rsidR="00B2411E" w:rsidRDefault="00B2411E">
      <w:pPr>
        <w:pStyle w:val="ConsPlusNormal"/>
        <w:jc w:val="right"/>
      </w:pPr>
      <w:r>
        <w:t>от 15 мая 2013 г. N 389-р</w:t>
      </w:r>
    </w:p>
    <w:p w:rsidR="00B2411E" w:rsidRDefault="00B2411E">
      <w:pPr>
        <w:pStyle w:val="ConsPlusNormal"/>
        <w:ind w:firstLine="540"/>
        <w:jc w:val="both"/>
      </w:pPr>
    </w:p>
    <w:p w:rsidR="00B2411E" w:rsidRDefault="00B2411E">
      <w:pPr>
        <w:pStyle w:val="ConsPlusTitle"/>
        <w:jc w:val="center"/>
      </w:pPr>
      <w:bookmarkStart w:id="2" w:name="P54"/>
      <w:bookmarkEnd w:id="2"/>
      <w:r>
        <w:t>ПРИМЕРНЫЙ ПЕРЕЧЕНЬ</w:t>
      </w:r>
    </w:p>
    <w:p w:rsidR="00B2411E" w:rsidRDefault="00B2411E">
      <w:pPr>
        <w:pStyle w:val="ConsPlusTitle"/>
        <w:jc w:val="center"/>
      </w:pPr>
      <w:r>
        <w:t xml:space="preserve">ОБЪЕКТОВ </w:t>
      </w:r>
      <w:proofErr w:type="gramStart"/>
      <w:r>
        <w:t>СОЦИАЛЬНОЙ</w:t>
      </w:r>
      <w:proofErr w:type="gramEnd"/>
      <w:r>
        <w:t>, ТРАНСПОРТНОЙ, ИНЖЕНЕРНОЙ</w:t>
      </w:r>
    </w:p>
    <w:p w:rsidR="00B2411E" w:rsidRDefault="00B2411E">
      <w:pPr>
        <w:pStyle w:val="ConsPlusTitle"/>
        <w:jc w:val="center"/>
      </w:pPr>
      <w:r>
        <w:t>ИНФРАСТРУКТУРЫ, ПОДЛЕЖАЩИХ ПРИСПОСОБЛЕНИЮ ДЛЯ ДОСТУПА</w:t>
      </w:r>
    </w:p>
    <w:p w:rsidR="00B2411E" w:rsidRDefault="00B2411E">
      <w:pPr>
        <w:pStyle w:val="ConsPlusTitle"/>
        <w:jc w:val="center"/>
      </w:pPr>
      <w:r>
        <w:t>ИНВАЛИДОВ</w:t>
      </w:r>
    </w:p>
    <w:p w:rsidR="00B2411E" w:rsidRDefault="00B2411E">
      <w:pPr>
        <w:pStyle w:val="ConsPlusNormal"/>
        <w:jc w:val="center"/>
      </w:pPr>
    </w:p>
    <w:p w:rsidR="00B2411E" w:rsidRDefault="00B2411E">
      <w:pPr>
        <w:pStyle w:val="ConsPlusNormal"/>
        <w:jc w:val="center"/>
      </w:pPr>
      <w:r>
        <w:t>Список изменяющих документов</w:t>
      </w:r>
    </w:p>
    <w:p w:rsidR="00B2411E" w:rsidRDefault="00B2411E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</w:t>
      </w:r>
      <w:proofErr w:type="gramEnd"/>
    </w:p>
    <w:p w:rsidR="00B2411E" w:rsidRDefault="00B2411E">
      <w:pPr>
        <w:pStyle w:val="ConsPlusNormal"/>
        <w:jc w:val="center"/>
      </w:pPr>
      <w:r>
        <w:t>от 16.01.2017 N 18-р)</w:t>
      </w:r>
    </w:p>
    <w:p w:rsidR="00B2411E" w:rsidRDefault="00B2411E">
      <w:pPr>
        <w:pStyle w:val="ConsPlusNormal"/>
        <w:jc w:val="both"/>
      </w:pPr>
    </w:p>
    <w:p w:rsidR="00B2411E" w:rsidRDefault="00B2411E">
      <w:pPr>
        <w:pStyle w:val="ConsPlusNormal"/>
        <w:ind w:firstLine="540"/>
        <w:jc w:val="both"/>
      </w:pPr>
      <w:r>
        <w:t>1. Объекты учреждений социальной защиты населения.</w:t>
      </w:r>
    </w:p>
    <w:p w:rsidR="00B2411E" w:rsidRDefault="00B2411E">
      <w:pPr>
        <w:pStyle w:val="ConsPlusNormal"/>
        <w:ind w:firstLine="540"/>
        <w:jc w:val="both"/>
      </w:pPr>
      <w:r>
        <w:t>2. Объекты здравоохранения, относящиеся к лечебно-профилактическим учреждениям (в том числе детские).</w:t>
      </w:r>
    </w:p>
    <w:p w:rsidR="00B2411E" w:rsidRDefault="00B2411E">
      <w:pPr>
        <w:pStyle w:val="ConsPlusNormal"/>
        <w:ind w:firstLine="540"/>
        <w:jc w:val="both"/>
      </w:pPr>
      <w:r>
        <w:t>3. Аптеки.</w:t>
      </w:r>
    </w:p>
    <w:p w:rsidR="00B2411E" w:rsidRDefault="00B2411E">
      <w:pPr>
        <w:pStyle w:val="ConsPlusNormal"/>
        <w:ind w:firstLine="540"/>
        <w:jc w:val="both"/>
      </w:pPr>
      <w:r>
        <w:t>4. Объекты образования.</w:t>
      </w:r>
    </w:p>
    <w:p w:rsidR="00B2411E" w:rsidRDefault="00B2411E">
      <w:pPr>
        <w:pStyle w:val="ConsPlusNormal"/>
        <w:ind w:firstLine="540"/>
        <w:jc w:val="both"/>
      </w:pPr>
      <w:r>
        <w:t>5. Библиотеки.</w:t>
      </w:r>
    </w:p>
    <w:p w:rsidR="00B2411E" w:rsidRDefault="00B2411E">
      <w:pPr>
        <w:pStyle w:val="ConsPlusNormal"/>
        <w:ind w:firstLine="540"/>
        <w:jc w:val="both"/>
      </w:pPr>
      <w:r>
        <w:t>6. Объекты культуры.</w:t>
      </w:r>
    </w:p>
    <w:p w:rsidR="00B2411E" w:rsidRDefault="00B2411E">
      <w:pPr>
        <w:pStyle w:val="ConsPlusNormal"/>
        <w:ind w:firstLine="540"/>
        <w:jc w:val="both"/>
      </w:pPr>
      <w:r>
        <w:t>7. Объекты культурного наследия.</w:t>
      </w:r>
    </w:p>
    <w:p w:rsidR="00B2411E" w:rsidRDefault="00B2411E">
      <w:pPr>
        <w:pStyle w:val="ConsPlusNormal"/>
        <w:ind w:firstLine="540"/>
        <w:jc w:val="both"/>
      </w:pPr>
      <w:r>
        <w:t>8. Объекты спорта.</w:t>
      </w:r>
    </w:p>
    <w:p w:rsidR="00B2411E" w:rsidRDefault="00B2411E">
      <w:pPr>
        <w:pStyle w:val="ConsPlusNormal"/>
        <w:ind w:firstLine="540"/>
        <w:jc w:val="both"/>
      </w:pPr>
      <w:r>
        <w:t>9. Автовокзалы.</w:t>
      </w:r>
    </w:p>
    <w:p w:rsidR="00B2411E" w:rsidRDefault="00B2411E">
      <w:pPr>
        <w:pStyle w:val="ConsPlusNormal"/>
        <w:ind w:firstLine="540"/>
        <w:jc w:val="both"/>
      </w:pPr>
      <w:r>
        <w:t>10. Железнодорожные вокзалы.</w:t>
      </w:r>
    </w:p>
    <w:p w:rsidR="00B2411E" w:rsidRDefault="00B2411E">
      <w:pPr>
        <w:pStyle w:val="ConsPlusNormal"/>
        <w:ind w:firstLine="540"/>
        <w:jc w:val="both"/>
      </w:pPr>
      <w:r>
        <w:t>11. Объекты организации жилищно-коммунального хозяйства.</w:t>
      </w:r>
    </w:p>
    <w:p w:rsidR="00B2411E" w:rsidRDefault="00B2411E">
      <w:pPr>
        <w:pStyle w:val="ConsPlusNormal"/>
        <w:ind w:firstLine="540"/>
        <w:jc w:val="both"/>
      </w:pPr>
      <w:r>
        <w:t>12. Объекты центров занятости населения.</w:t>
      </w:r>
    </w:p>
    <w:p w:rsidR="00B2411E" w:rsidRDefault="00B2411E">
      <w:pPr>
        <w:pStyle w:val="ConsPlusNormal"/>
        <w:ind w:firstLine="540"/>
        <w:jc w:val="both"/>
      </w:pPr>
      <w:r>
        <w:lastRenderedPageBreak/>
        <w:t>13. Магазины.</w:t>
      </w:r>
    </w:p>
    <w:p w:rsidR="00B2411E" w:rsidRDefault="00B2411E">
      <w:pPr>
        <w:pStyle w:val="ConsPlusNormal"/>
        <w:ind w:firstLine="540"/>
        <w:jc w:val="both"/>
      </w:pPr>
      <w:r>
        <w:t>14. Объекты бытового обслуживания.</w:t>
      </w:r>
    </w:p>
    <w:p w:rsidR="00B2411E" w:rsidRDefault="00B2411E">
      <w:pPr>
        <w:pStyle w:val="ConsPlusNormal"/>
        <w:ind w:firstLine="540"/>
        <w:jc w:val="both"/>
      </w:pPr>
      <w:r>
        <w:t>15. Здания отделений Пенсионного фонда Российской Федерации.</w:t>
      </w:r>
    </w:p>
    <w:p w:rsidR="00B2411E" w:rsidRDefault="00B2411E">
      <w:pPr>
        <w:pStyle w:val="ConsPlusNormal"/>
        <w:ind w:firstLine="540"/>
        <w:jc w:val="both"/>
      </w:pPr>
      <w:r>
        <w:t>16. Здания отделений (подразделений) банков и иных кредитных организации.</w:t>
      </w:r>
    </w:p>
    <w:p w:rsidR="00B2411E" w:rsidRDefault="00B2411E">
      <w:pPr>
        <w:pStyle w:val="ConsPlusNormal"/>
        <w:ind w:firstLine="540"/>
        <w:jc w:val="both"/>
      </w:pPr>
      <w:r>
        <w:t>17. Здания отделений почтовой связи.</w:t>
      </w:r>
    </w:p>
    <w:p w:rsidR="00B2411E" w:rsidRDefault="00B2411E">
      <w:pPr>
        <w:pStyle w:val="ConsPlusNormal"/>
        <w:ind w:firstLine="540"/>
        <w:jc w:val="both"/>
      </w:pPr>
      <w:r>
        <w:t>18. Здания администраций муниципальных образований.</w:t>
      </w:r>
    </w:p>
    <w:p w:rsidR="00B2411E" w:rsidRDefault="00B2411E">
      <w:pPr>
        <w:pStyle w:val="ConsPlusNormal"/>
        <w:ind w:firstLine="540"/>
        <w:jc w:val="both"/>
      </w:pPr>
      <w:r>
        <w:t>19. Тротуары и пешеходные дорожки, включая пешеходные улицы, подходы к объектам транспортной инфраструктуры с элементами обустройства (пандусы, ограждения и поручни).</w:t>
      </w:r>
    </w:p>
    <w:p w:rsidR="00B2411E" w:rsidRDefault="00B2411E">
      <w:pPr>
        <w:pStyle w:val="ConsPlusNormal"/>
        <w:ind w:firstLine="540"/>
        <w:jc w:val="both"/>
      </w:pPr>
      <w:r>
        <w:t>20. Пешеходные переходы (регулируемые и нерегулируемые, наземные и подземные с элементами обустройства).</w:t>
      </w:r>
    </w:p>
    <w:p w:rsidR="00B2411E" w:rsidRDefault="00B2411E">
      <w:pPr>
        <w:pStyle w:val="ConsPlusNormal"/>
        <w:ind w:firstLine="540"/>
        <w:jc w:val="both"/>
      </w:pPr>
      <w:r>
        <w:t>21. Остановочные пункты (размещение, обустройство).</w:t>
      </w:r>
    </w:p>
    <w:p w:rsidR="00B2411E" w:rsidRDefault="00B2411E">
      <w:pPr>
        <w:pStyle w:val="ConsPlusNormal"/>
        <w:ind w:firstLine="540"/>
        <w:jc w:val="both"/>
      </w:pPr>
      <w:r>
        <w:t>22. Парковки (места общего пользования, за исключением парковок торговых центров, объектов социальной инфраструктуры, дворовых территорий и частных парковок).</w:t>
      </w:r>
    </w:p>
    <w:p w:rsidR="00B2411E" w:rsidRDefault="00B2411E">
      <w:pPr>
        <w:pStyle w:val="ConsPlusNormal"/>
        <w:ind w:firstLine="540"/>
        <w:jc w:val="both"/>
      </w:pPr>
      <w:r>
        <w:t>23. Зоны отдыха, относящиеся к ведению органов местного самоуправления (парки, скверы, базы отдыха, туристические базы и т.д.).</w:t>
      </w:r>
    </w:p>
    <w:p w:rsidR="00B2411E" w:rsidRDefault="00B2411E">
      <w:pPr>
        <w:pStyle w:val="ConsPlusNormal"/>
        <w:ind w:firstLine="540"/>
        <w:jc w:val="both"/>
      </w:pPr>
    </w:p>
    <w:p w:rsidR="00B2411E" w:rsidRDefault="00B2411E">
      <w:pPr>
        <w:pStyle w:val="ConsPlusNormal"/>
        <w:ind w:firstLine="540"/>
        <w:jc w:val="both"/>
      </w:pPr>
    </w:p>
    <w:p w:rsidR="00B2411E" w:rsidRDefault="00B24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95E" w:rsidRDefault="00C2795E"/>
    <w:sectPr w:rsidR="00C2795E" w:rsidSect="00B241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411E"/>
    <w:rsid w:val="00B2411E"/>
    <w:rsid w:val="00C2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DFC18D82035EF723E091E8D553DEF5256022AB9C9201234D3C9F65A2F38A7AE7BAADE9F9AAD000435EAO8sCG" TargetMode="External"/><Relationship Id="rId13" Type="http://schemas.openxmlformats.org/officeDocument/2006/relationships/hyperlink" Target="consultantplus://offline/ref=3F3DFC18D82035EF723E091E8D553DEF5256022AB9C9201234D3C9F65A2F38A7AE7BAADE9F9AAD000435EBO8s0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3DFC18D82035EF723E091E8D553DEF5256022AB9C9201234D3C9F65A2F38A7AE7BAADE9F9AAD000435EAO8sDG" TargetMode="External"/><Relationship Id="rId12" Type="http://schemas.openxmlformats.org/officeDocument/2006/relationships/hyperlink" Target="consultantplus://offline/ref=3F3DFC18D82035EF723E091E8D553DEF5256022AB9C9201234D3C9F65A2F38A7AE7BAADE9F9AAD000435EBO8s1G" TargetMode="External"/><Relationship Id="rId17" Type="http://schemas.openxmlformats.org/officeDocument/2006/relationships/hyperlink" Target="consultantplus://offline/ref=3F3DFC18D82035EF723E091E8D553DEF5256022AB9C9201234D3C9F65A2F38A7AE7BAADE9F9AAD000435E8O8s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3DFC18D82035EF723E091E8D553DEF5256022AB9C9201234D3C9F65A2F38A7AE7BAADE9F9AAD000435E8O8s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DFC18D82035EF723E091E8D553DEF5256022AB9C9201234D3C9F65A2F38A7AE7BAADE9F9AAD000435EAO8s3G" TargetMode="External"/><Relationship Id="rId11" Type="http://schemas.openxmlformats.org/officeDocument/2006/relationships/hyperlink" Target="consultantplus://offline/ref=3F3DFC18D82035EF723E091E8D553DEF5256022AB9C9201234D3C9F65A2F38A7AE7BAADE9F9AAD000435EBO8s6G" TargetMode="External"/><Relationship Id="rId5" Type="http://schemas.openxmlformats.org/officeDocument/2006/relationships/hyperlink" Target="consultantplus://offline/ref=3F3DFC18D82035EF723E091E8D553DEF5256022ABDCC2E123DD3C9F65A2F38A7AE7BAADE9F9AAD000435EBO8sCG" TargetMode="External"/><Relationship Id="rId15" Type="http://schemas.openxmlformats.org/officeDocument/2006/relationships/hyperlink" Target="consultantplus://offline/ref=3F3DFC18D82035EF723E091E8D553DEF5256022AB9C9201234D3C9F65A2F38A7AE7BAADE9F9AAD000435EBO8sDG" TargetMode="External"/><Relationship Id="rId10" Type="http://schemas.openxmlformats.org/officeDocument/2006/relationships/hyperlink" Target="consultantplus://offline/ref=3F3DFC18D82035EF723E091E8D553DEF5256022AB9C9201234D3C9F65A2F38A7AE7BAADE9F9AAD000435EBO8s4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F3DFC18D82035EF723E091E8D553DEF5256022AB9C9201234D3C9F65A2F38A7AE7BAADE9F9AAD000435EAO8s1G" TargetMode="External"/><Relationship Id="rId9" Type="http://schemas.openxmlformats.org/officeDocument/2006/relationships/hyperlink" Target="consultantplus://offline/ref=3F3DFC18D82035EF723E091E8D553DEF5256022AB9C9201234D3C9F65A2F38A7AE7BAADE9F9AAD000435EBO8s5G" TargetMode="External"/><Relationship Id="rId14" Type="http://schemas.openxmlformats.org/officeDocument/2006/relationships/hyperlink" Target="consultantplus://offline/ref=3F3DFC18D82035EF723E091E8D553DEF5256022AB9C9201234D3C9F65A2F38A7AE7BAADE9F9AAD000435EBO8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1</cp:revision>
  <dcterms:created xsi:type="dcterms:W3CDTF">2017-01-27T06:44:00Z</dcterms:created>
  <dcterms:modified xsi:type="dcterms:W3CDTF">2017-01-27T07:00:00Z</dcterms:modified>
</cp:coreProperties>
</file>